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703" w:type="dxa"/>
        <w:tblLook w:val="04A0" w:firstRow="1" w:lastRow="0" w:firstColumn="1" w:lastColumn="0" w:noHBand="0" w:noVBand="1"/>
      </w:tblPr>
      <w:tblGrid>
        <w:gridCol w:w="8703"/>
      </w:tblGrid>
      <w:tr w:rsidR="00064C80" w:rsidTr="00064C80">
        <w:trPr>
          <w:trHeight w:val="6847"/>
        </w:trPr>
        <w:tc>
          <w:tcPr>
            <w:tcW w:w="8703" w:type="dxa"/>
          </w:tcPr>
          <w:p w:rsidR="00064C80" w:rsidRPr="00064C80" w:rsidRDefault="00064C80" w:rsidP="00064C80">
            <w:pPr>
              <w:ind w:left="141" w:right="42"/>
              <w:jc w:val="both"/>
              <w:rPr>
                <w:rFonts w:ascii="Courier New" w:hAnsi="Courier New" w:cs="Courier New"/>
                <w:b/>
              </w:rPr>
            </w:pPr>
            <w:r w:rsidRPr="00064C80">
              <w:rPr>
                <w:rFonts w:ascii="Courier New" w:hAnsi="Courier New" w:cs="Courier New"/>
                <w:b/>
                <w:sz w:val="22"/>
                <w:szCs w:val="22"/>
              </w:rPr>
              <w:t>EXTRATO DA DECISÃO RELATIVA AO PROCESSO Nº 04/2025</w:t>
            </w:r>
          </w:p>
          <w:p w:rsidR="00064C80" w:rsidRDefault="00064C80" w:rsidP="00064C80">
            <w:pPr>
              <w:jc w:val="both"/>
            </w:pPr>
            <w:r w:rsidRPr="005D70CE">
              <w:rPr>
                <w:rFonts w:ascii="Courier New" w:hAnsi="Courier New" w:cs="Courier New"/>
                <w:sz w:val="22"/>
                <w:szCs w:val="22"/>
              </w:rPr>
              <w:t xml:space="preserve">Vistos, Trata-se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de 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plano de trabalho apresentado pela </w:t>
            </w:r>
            <w:r w:rsidRPr="003524A4">
              <w:rPr>
                <w:rFonts w:ascii="Courier New" w:hAnsi="Courier New" w:cs="Courier New"/>
                <w:sz w:val="22"/>
                <w:szCs w:val="22"/>
              </w:rPr>
              <w:t xml:space="preserve">Santa Casa de Misericórdia </w:t>
            </w:r>
            <w:r w:rsidRPr="003524A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localizada na cidade de </w:t>
            </w:r>
            <w:r w:rsidRPr="003524A4">
              <w:rPr>
                <w:rFonts w:ascii="Courier New" w:hAnsi="Courier New" w:cs="Courier New"/>
                <w:sz w:val="22"/>
                <w:szCs w:val="22"/>
              </w:rPr>
              <w:t xml:space="preserve">José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Bonifácio 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/SP, em que a entidade prestará os serviços, na área da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saúde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>, durante o perío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do de janeiro a dezembro de 2026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, em contrapartida a Administração Pública Municipal realizará o pagamento, para todo o período de execução da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parceria, o valor anual de R$ 42.0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00,00 (quarenta e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dois 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mil, reais). 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>Houve relatório da gestora da parceria atestando o preenchimento dos requisitos previstos no artigo 22 da Lei 13.019/2014. Existe previa dotação orçamentária para a execução da parceria, conforme relatório da Sra. Cont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adora da Prefeitura Municipal. E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o relatório do essencial. DECIDO. 1. Preenchidos os requisitos previstos na Lei 13.019, em seu artigo 22 e no artigo 9º da Lei Municipal nº 1663/2017, APROVO o pla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no de trabalho apresentado pela </w:t>
            </w:r>
            <w:r w:rsidRPr="0013608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SANTA CASA DE MISERICÓRDIA DE JOSÉ BONIFÁCIO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/SP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>. 2. Providencie-se a juntada aos autos de cópia da Portaria de designação da comissão de monitoramento e avaliação da parceria expedida, nos termos do artigo 35, inciso V, a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línea ‘h’, da Lei 13.019/2014. 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3. Diante do plano de trabalho apresentado e documentos apresentados, encaminhe-se os autos para o (a) Sr. (a) gestor (a) da parceria para o cumprimento do artigo 16, V, da Lei Municipal nº 1663/2017. Prazo 05 (cinco) dias. 4. Em seguida, encaminhe-se os autos ao (à) assessor (a) jurídico (a) do Município para a emissão de parecer técnico, conforme artigo 16, VI, da Lei Municipal nº 1663/2017. Prazo 05 (cinco) dias. 5. Após, tornem os autos conclusos. Mendonça/SP,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26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novembro de 2025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Juliano Souza de Oliveira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Prefeito Municipal</w:t>
            </w:r>
          </w:p>
          <w:p w:rsidR="00064C80" w:rsidRDefault="00064C80" w:rsidP="00064C80">
            <w:pPr>
              <w:jc w:val="both"/>
            </w:pPr>
          </w:p>
        </w:tc>
      </w:tr>
    </w:tbl>
    <w:p w:rsidR="008E2079" w:rsidRDefault="00064C80" w:rsidP="00064C80">
      <w:pPr>
        <w:jc w:val="both"/>
      </w:pPr>
      <w:bookmarkStart w:id="0" w:name="_GoBack"/>
      <w:bookmarkEnd w:id="0"/>
    </w:p>
    <w:sectPr w:rsidR="008E2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80"/>
    <w:rsid w:val="00064C80"/>
    <w:rsid w:val="00693FF0"/>
    <w:rsid w:val="00B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334E"/>
  <w15:chartTrackingRefBased/>
  <w15:docId w15:val="{E6C292B1-6685-4388-ACB0-85AF734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2025-12-18T18:45:00Z</dcterms:created>
  <dcterms:modified xsi:type="dcterms:W3CDTF">2025-12-18T18:48:00Z</dcterms:modified>
</cp:coreProperties>
</file>